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50</w:t>
      </w:r>
    </w:p>
    <w:p>
      <w:r>
        <w:t>Bundesgericht (BGE), 2019-01-24, DE</w:t>
      </w:r>
    </w:p>
    <w:p>
      <w:r>
        <w:rPr>
          <w:b/>
        </w:rPr>
        <w:t xml:space="preserve">Quelle: </w:t>
      </w:r>
      <w:r>
        <w:t>https://mcp.opencaselaw.ch/entscheid/bge_145 V 50</w:t>
      </w:r>
    </w:p>
    <w:p>
      <w:r>
        <w:t>FR: ATF 145 V 50</w:t>
      </w:r>
    </w:p>
    <w:p>
      <w:r>
        <w:t>IT: DTF 145 V 50</w:t>
      </w:r>
    </w:p>
    <w:p>
      <w:pPr>
        <w:pStyle w:val="Heading2"/>
      </w:pPr>
      <w:r>
        <w:t>Regeste</w:t>
      </w:r>
    </w:p>
    <w:p>
      <w:r>
        <w:t>Regeste Art. 4, Art. 5 Abs. 1 und 2, Art. 9 Abs. 2 lit. f AHVG; Art. 7 lit. h und Art. 23 AHVV; Dividendenauszahlungen als massgeblicher Lohn. Bestätigung der Rechtsprechung, wonach bei der Abgrenzung zwischen Lohn und Dividende von der Aufteilung, welche die Gesellschaft gewählt hat, nur dann abzuweichen ist, wenn ein offensichtliches Missverhältnis zwischen Arbeitsleistung und Lohn sowie zwischen eingesetztem Vermögen und Dividende besteht (E. 4.3).</w:t>
      </w:r>
    </w:p>
    <w:p>
      <w:pPr>
        <w:pStyle w:val="Heading2"/>
      </w:pPr>
      <w:r>
        <w:t>Erwägungen</w:t>
      </w:r>
    </w:p>
    <w:p>
      <w:r>
        <w:rPr>
          <w:b/>
        </w:rPr>
        <w:t>E. 2</w:t>
      </w:r>
    </w:p>
    <w:p>
      <w:r>
        <w:t>Umstritten ist, ob die Vorinstanz Bundesrecht verletzt hat, indem sie einen Teil der an die Dres. med. B. und C. in den Jahren 2009 und 2010 ausgeschütteten Dividenden als beitragspflichtiges Einkommen qualifizierte.</w:t>
      </w:r>
    </w:p>
    <w:p>
      <w:r>
        <w:rPr>
          <w:b/>
        </w:rPr>
        <w:t>E. 3.1</w:t>
      </w:r>
    </w:p>
    <w:p>
      <w:r>
        <w:t>Gemäss Art. 4 und 5 AHVG werden Sozialversicherungsbeiträge nur vom Erwerbseinkommen erhoben, nicht aber vom Vermögensertrag ( BGE 141 V 634 E. 2.1 S. 636; BGE 122 V 178 E. 3b S. 179 f.; vgl. auch die Art. 3 Abs. 1 IVG , Art. 27 Abs. 2 EOG und Art. 16 Abs. 2 FamZG , die für die Beitragsbemessung auf das AHVG verweisen).</w:t>
      </w:r>
    </w:p>
    <w:p>
      <w:r>
        <w:rPr>
          <w:b/>
        </w:rPr>
        <w:t>E. 3.2</w:t>
      </w:r>
    </w:p>
    <w:p>
      <w:r>
        <w:t>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BGE 145 V 50 S. 53 Gewinnausschüttungen ( BGE 141 V 634 E. 2.2 S. 636 mit Hinweisen). Von der durch die Gesellschaft gewählten Aufteilung zwischen Lohn und Dividende weichen die Behörden nur ab, wenn ein offensichtliches Missverhältnis zwischen Arbeitsleistung und Lohn einerseits und zwischen eingesetztem Vermögen und Dividende anderseits besteht ( BGE 141 V 634 E. 2.2.1 f. S. 637). Rechtsprechungsgemäss werden deklariertes AHV-Einkommen und branchenübliches Gehalt einerseits, sowie Dividendenzahlung und Aktienwert anderseits zueinander in Beziehung gesetzt, um zu prüfen, ob ein solches Missverhältnis besteht, und zu bestimmen, ob ein Teil der ausgeschütteten Dividende als beitragspflichtiges Einkommen aufzurechnen ist ( BGE 141 V 634 E. 2.2.2 S. 637).</w:t>
      </w:r>
    </w:p>
    <w:p>
      <w:r>
        <w:rPr>
          <w:b/>
        </w:rPr>
        <w:t>E. 3.2.1</w:t>
      </w:r>
    </w:p>
    <w:p>
      <w:r>
        <w:t>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(Urteil 9C_557/2017 vom 6. Juli 2018 E. 2.3.1 mit Hinweisen, u.a. auch auf Rz. 2011.5 der Wegleitung des BSV über den massgebenden Lohn in der AHV, IV und EO [WML]).</w:t>
      </w:r>
    </w:p>
    <w:p>
      <w:r>
        <w:rPr>
          <w:b/>
        </w:rPr>
        <w:t>E. 3.2.2</w:t>
      </w:r>
    </w:p>
    <w:p>
      <w:r>
        <w:t>Die Angemessenheit des Vermögensertrags beurteilt sich nicht in Relation zum Nennwert (Nominalwert), sondern zum effektiven wirtschaftlichen Wert der Aktien oder sonstigen Anteile (Eigenkapital einschliesslich offener und stiller Reserven; BGE 141 V 634 E. 2.2.2 S. 637; BGE 134 V 297 E. 2.8 S. 304). Gemäss WML ist ein Missverhältnis zu vermuten, wenn der Vermögensertrag 10 % oder mehr beträgt (Rz. 2011.7). Der Erlass einer solchen Weisung ist nicht zu beanstanden ( Art. 72 Abs. 1 AHVG ), sie kann jedoch nicht schematisch angewendet werden, sondern nur unter Würdigung des konkreten Einzelfalls ( BGE 134 V 297 E. 2.7 S. 303; zum Ganzen vgl. auch zit. Urteil 9C_557/2017 E. 2.3.2). BGE 145 V 50 S. 54</w:t>
      </w:r>
    </w:p>
    <w:p>
      <w:r>
        <w:rPr>
          <w:b/>
        </w:rPr>
        <w:t>E. 3.3</w:t>
      </w:r>
    </w:p>
    <w:p>
      <w:r>
        <w:t>Praxisgemäss ist es Sache der Ausgleichskassen, selbständig zu beurteilen, ob ein Einkommensbestandteil als massgebender Lohn oder als Kapitalertrag qualifiziert werden muss. Der in Art. 23 AHVV enthaltenen Ordnung entspricht es jedoch, dass sie sich in der Regel an die bundessteuerrechtliche Betrachtungsweise halten. Soweit es vertretbar ist, soll eine verschiedene Einschätzung der Steuerbehörde und der AHV-Verwaltung vermieden werden, dies um der Einheit und der Widerspruchslosigkeit der gesamten Rechtsordnung Willen ( BGE 141 V 634 E. 2.5 S. 638).</w:t>
      </w:r>
    </w:p>
    <w:p>
      <w:r>
        <w:rPr>
          <w:b/>
        </w:rPr>
        <w:t>E. 4.1</w:t>
      </w:r>
    </w:p>
    <w:p>
      <w:r>
        <w:t>Das Verwaltungsgericht erwog, ein Lohn könne nicht allein deshalb als unangemessen niedrig beurteilt werden, weil die Dividende (im Vergleich dazu) zu hoch erscheine. Dividenden über 10 % des Unternehmenssteuergewinns (recte: des Unternehmenssteuerwerts) generell als massgebenden Lohn der Beitragspflicht zu unterwerfen - wie dies die Ausgleichskasse verlange - führe zu willkürlichen Ergebnissen und komme einer neuen Steuer gleich, die insbesondere ertragsstarke Unternehmen pönalisieren würde. Sachliche Gründe zur Abkehr vom - im Einzelfall zu prüfenden - Erfordernis des kumulativen Missverhältnisses (vgl. oben E. 3.2) bestünden demnach nicht.</w:t>
      </w:r>
    </w:p>
    <w:p>
      <w:r>
        <w:rPr>
          <w:b/>
        </w:rPr>
        <w:t>E. 4.2</w:t>
      </w:r>
    </w:p>
    <w:p>
      <w:r>
        <w:t>Die Ausgleichskasse verlangt mit ihrer Beschwerde (Verfahren 9C_4/2018) letztinstanzlich erneut, soweit auf dem eingesetzten Kapital eine Dividende von mehr als 10 % bezahlt worden sei, sei diese als beitragspflichtiges Einkommen aufzurechnen. Auf das Kriterium des Missverhältnisses zwischen Arbeitsleistung und Lohn sei zu verzichten. Dieses sei "gänzlich impraktikabel und letztlich willkürlich"; es verhindere eine korrekte Abgrenzung zwischen Erwerbseinkommen und Kapitalertrag in wirtschaftlicher Betrachtungsweise und verletze damit die Rechtsgleichheit unter allen Beitragspflichtigen. Das BSV schliesst sich der von der Ausgleichskasse vertretenen Auffassung an.</w:t>
      </w:r>
    </w:p>
    <w:p>
      <w:r>
        <w:rPr>
          <w:b/>
        </w:rPr>
        <w:t>E. 4.3</w:t>
      </w:r>
    </w:p>
    <w:p>
      <w:r>
        <w:t>Damit beantragen Ausgleichskasse und BSV eine Änderung der Rechtsprechung.</w:t>
      </w:r>
    </w:p>
    <w:p>
      <w:r>
        <w:rPr>
          <w:b/>
        </w:rPr>
        <w:t>E. 4.3.1</w:t>
      </w:r>
    </w:p>
    <w:p>
      <w:r>
        <w:t>Eine solche lässt sich regelmässig nur begründen, wenn die neue Lösung besserer Erkenntnis des Gesetzeszwecks, veränderten äusseren Verhältnissen oder gewandelter Rechtsanschauung entspricht ( BGE 143 V 269 E. 4 S. 277 mit Hinweis). Eine Rechtsprechungsänderung muss sich auf ernsthafte sachliche Gründe stützen können, BGE 145 V 50 S. 55 die - vor allem im Hinblick auf das Gebot der Rechtssicherheit - umso gewichtiger sein müssen, je länger die als falsch oder nicht mehr zeitgemäss erkannte Rechtsanwendung für zutreffend erachtet worden ist. Soweit BSV und Ausgleichskasse überhaupt über eine blosse Darlegung der eigenen Sicht der Dinge hinausgehen und den Begründungsanforderungen des Art. 42 Abs. 2 BGG genügen - was offenbleiben kann - legen sie jedenfalls keine Gründe dar, die eine Rechtsprechungsänderung rechtfertigen:</w:t>
      </w:r>
    </w:p>
    <w:p>
      <w:r>
        <w:rPr>
          <w:b/>
        </w:rPr>
        <w:t>E. 4.3.2</w:t>
      </w:r>
    </w:p>
    <w:p>
      <w:r>
        <w:t>Wie bereits die Vorinstanz antönte, hatte der Gesetzgeber Gelegenheit, sich mit der Frage der Umqualifizierung von Dividenden in AHV-pflichtigen Lohn - im Nachgang zur "Unternehmenssteuerreform II", welche die wirtschaftliche Doppelbelastung von Körperschaftsgewinnen und Dividenden verminderte und letztere damit für Unternehmeraktionäre attraktiver machte, im Wissen um die negativen Auswirkungen auf die AHV (vgl. dazu ausführlich etwa PAUL CADOTSCH, Unternehmenssteuerreform II: Dividenden und AHV-Beiträge, StR 64/2009 S. 47 ff.) - zu befassen. Das Parlament behandelte eine Motion Humbel Nr. 13.3748 mit dem Titel "AHV. Sicherung des Beitragssubstrats", die auf eine AHV-Beitragspflicht für Dividenden über 10 % des Unternehmenssteuerwertes abzielte, nicht. Dies, nachdem der Bundesrat zuvor die Ablehnung beantragt und auf die Möglichkeit der Ausgleichskassen, einzelfallgerecht gegen Missbräuche vorzugehen, verwiesen hatte. Ein früheres Postulat Humbel Nr. 12.4223 "AHV. Beitragssubstrat erhalten" wurde in Zusammenhang mit der "Unternehmenssteuerreform III" abgeschrieben (Botschaft vom 5. Juni 2015 zum Unternehmenssteuerreformgesetz III, BBl 2015 5103 Ziff. 1.2.9, 5159 Ziff. 3.1.1.5). Die in der bundesrätlichen Vorlage noch vorgesehene Erhöhung des Teilbesteuerungsmasses auf Beteiligungen sollte der Tendenz entgegenwirken, aus steuerlichen Gründen Dividenden statt Lohn zu beziehen. Das Anliegen wurde - nach Ablehnung der "Unternehmenssteuerreform III" in der Volksabstimmung vom 12. Februar 2017 (Bundesratsbeschluss vom 13. April 2017 über das Ergebnis der Volksabstimmung vom 12. Februar 2017, BBl 2017 3388 Art. 2) - mit der "Steuervorlage 17" wieder aufgenommen (Botschaft vom 21. März 2018 zum Bundesgesetz über die Steuervorlage 17, BBl 2017 2554 Ziff. 1.2.2.5 i.f.) und fand schliesslich im Bundesgesetz über die Steuerreform und die AHV-Finanzierung (STAF), das vom Parlament am 28. September 2018 verabschiedet wurde, seinen Niederschlag BGE 145 V 50 S. 56 (Schlussabstimmungstext: BBl 2018 6031 ff., vgl. etwa Ziff. 2 Art. 18b Abs. 1 DBG , Ziff. 3 Art. 7 Abs. 1 StHG ). Wenn Ausgleichskasse und BSV das Beitragssubstrat auf dem Wege der Rechtsprechungsänderung - völlig ungeachtet der steuerlichen Betrachtung und unabhängig vom Vorliegen eines offensichtlichen Missverhältnisses (E. 3.2 hiervor) - ausweiten wollen auf (fast) alle 10 % des Unternehmenssteuerwerts übersteigenden Dividendenzahlungen und damit in Kauf nehmen, dass ein und dieselben Einkünfte potenziell gleichzeitig mit Steuern (Gewinnsteuer, Einkommenssteuer, Verrechnungssteuer) und AHV-Beiträgen belastet würden (vgl. etwa RABAGLIO/SCHÄR, Geldwerte Leistungen: Praxiseskalation bei Steuern und AHV, StR 6/2018 S. 452 ff., 458), entspricht dies nach dem Gesagten offenkundig nicht dem gesetzgeberischen Willen, und mithin nicht besserer Erkenntnis des Gesetzeszwecks oder einer gewandelten Rechtsanschauung. Hinzu kommt, dass es dem Bundesgericht auch mit Blick auf den Grundsatz der Gewaltenteilung ( Art. 5 Abs. 1 BV ; vgl. etwa BGE 138 I 196 [Regest]) nicht zusteht, einer vom Gesetzgeber zu Gunsten anderer Lösungsansätze nicht weiter verfolgten Gesetzesausgestaltung auf dem Wege der Rechtsprechungsänderung zum Durchbruch zu verhelfen, wie die A. AG richtig vorbringt (vgl. etwa auch BGE 139 III 288 E. 2.3.3 S. 293).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